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长城汽车股份有限公司偿债能力分析</w:t>
      </w:r>
    </w:p>
    <w:p w14:paraId="00000002">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第一章 绪论</w:t>
      </w:r>
    </w:p>
    <w:p w14:paraId="00000003">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1.1 研究背景及意义</w:t>
      </w:r>
    </w:p>
    <w:p w14:paraId="00000004">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1.1.1 研究背景</w:t>
      </w:r>
    </w:p>
    <w:p w14:paraId="0000000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全球汽车行业正经历一场前所未有的深刻变革。以电动化、智能化、网联化为代表的新技术浪潮彻底重塑了产业生态，新能源汽车（NEV）的渗透率正以前所未有的速度攀升。在中国这一全球最大的汽车市场，这场变革尤为剧烈。一方面，本土品牌凭借在新能源领域的先发优势迅速崛起；另一方面，传统燃油车市场面临巨大压力，市场竞争进入白热化阶段，“价格战”频发成为常态。</w:t>
      </w:r>
    </w:p>
    <w:p w14:paraId="0000000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汽车制造业作为典型的重资产、高杠杆、强周期性行业，其财务特征在当前的变革期表现得更为突出。企业为了在“新四化”浪潮中不被淘汰，必须持续投入巨额资金进行技术研发、产线升级和品牌建设。然而，激烈的市场竞争和终端价格的不断下探，又严重压缩了企业的利润空间。“高投入”与“低利润”并存的局面，使得汽车企业的财务健康状况，特别是偿债能力，承受着巨大考验。</w:t>
      </w:r>
    </w:p>
    <w:p w14:paraId="0000000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长城汽车股份有限公司（以下简称“长城汽车”）作为中国汽车行业的头部企业之一，是这场变革中极具代表性的样本。长城汽车凭借SUV领域的传统优势，近年来在新能源（如欧拉、魏牌）和智能化领域（如毫末智行）均进行了大规模投入，积极寻求转型。其财务表现不仅关乎自身的可持续发展，也在很大程度上反映了行业内其他转型中企业所面临的共同挑战。因此，选择长城汽车作为研究对象，对其偿债能力进行系统分析，在当前行业背景下具有极强的典型性和研究价值。</w:t>
      </w:r>
    </w:p>
    <w:p w14:paraId="00000008">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1.1.2 研究意义</w:t>
      </w:r>
    </w:p>
    <w:p w14:paraId="0000000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b/>
          <w:bCs/>
          <w:color w:val="1B1C1D"/>
          <w:rtl w:val="0"/>
        </w:rPr>
        <w:t>理论意义：</w:t>
      </w:r>
      <w:r>
        <w:rPr>
          <w:rFonts w:ascii="Google Sans Text" w:hAnsi="Google Sans Text" w:eastAsia="Google Sans Text" w:cs="Google Sans Text"/>
          <w:color w:val="1B1C1D"/>
          <w:rtl w:val="0"/>
        </w:rPr>
        <w:t xml:space="preserve"> 本文将经典的财务分析理论（如资本结构理论、偿债能力指标体系）应用于汽车产业剧烈变革的动态环境中，通过对长城汽车这一复杂案例的深入剖析，有助于丰富和拓展传统财务理论在特定产业背景下的应用实证，特别是探索在“价格战”和高研发投入双重压力下，企业偿债能力的新表征和影响机制。</w:t>
      </w:r>
    </w:p>
    <w:p w14:paraId="0000000A">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现实意义：</w:t>
      </w:r>
    </w:p>
    <w:p w14:paraId="0000000B">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pPr>
      <w:r>
        <w:rPr>
          <w:rFonts w:ascii="Google Sans Text" w:hAnsi="Google Sans Text" w:eastAsia="Google Sans Text" w:cs="Google Sans Text"/>
          <w:b/>
          <w:bCs/>
          <w:color w:val="1B1C1D"/>
          <w:rtl w:val="0"/>
        </w:rPr>
        <w:t>对长城汽车：</w:t>
      </w:r>
      <w:r>
        <w:rPr>
          <w:rFonts w:ascii="Google Sans Text" w:hAnsi="Google Sans Text" w:eastAsia="Google Sans Text" w:cs="Google Sans Text"/>
          <w:color w:val="1B1C1D"/>
          <w:rtl w:val="0"/>
        </w:rPr>
        <w:t xml:space="preserve"> 通过对其偿债能力的纵向趋势分析和行业横向对比，科学识别其在资本结构、现金流管理等方面的潜在风险点和结构性问题。研究结论可为企业管理层优化财务结构、平衡研发投入与财务安全、制定更稳健的经营决策提供数据支持和科学依据。</w:t>
      </w:r>
    </w:p>
    <w:p w14:paraId="0000000C">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pPr>
      <w:r>
        <w:rPr>
          <w:rFonts w:ascii="Google Sans Text" w:hAnsi="Google Sans Text" w:eastAsia="Google Sans Text" w:cs="Google Sans Text"/>
          <w:b/>
          <w:bCs/>
          <w:color w:val="1B1C1D"/>
          <w:rtl w:val="0"/>
        </w:rPr>
        <w:t>对投资者和债权人：</w:t>
      </w:r>
      <w:r>
        <w:rPr>
          <w:rFonts w:ascii="Google Sans Text" w:hAnsi="Google Sans Text" w:eastAsia="Google Sans Text" w:cs="Google Sans Text"/>
          <w:color w:val="1B1C1D"/>
          <w:rtl w:val="0"/>
        </w:rPr>
        <w:t xml:space="preserve"> 在行业高不确定性下，本研究提供了一个评估长城汽车信用风险和长期投资价值的精细化视角。通过对其短期和长期偿债能力的综合研判，有助于投资者和债权人做出更理性的决策，规避潜在的财务风险。</w:t>
      </w:r>
    </w:p>
    <w:p w14:paraId="0000000D">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80" w:hanging="360"/>
      </w:pPr>
      <w:r>
        <w:rPr>
          <w:rFonts w:ascii="Google Sans Text" w:hAnsi="Google Sans Text" w:eastAsia="Google Sans Text" w:cs="Google Sans Text"/>
          <w:b/>
          <w:bCs/>
          <w:color w:val="1B1C1D"/>
          <w:rtl w:val="0"/>
        </w:rPr>
        <w:t>对行业监管者及其他企业：</w:t>
      </w:r>
      <w:r>
        <w:rPr>
          <w:rFonts w:ascii="Google Sans Text" w:hAnsi="Google Sans Text" w:eastAsia="Google Sans Text" w:cs="Google Sans Text"/>
          <w:color w:val="1B1C1D"/>
          <w:rtl w:val="0"/>
        </w:rPr>
        <w:t xml:space="preserve"> 长城汽车的案例为行业监管者提供了观察头部企业财务风险积聚情况的窗口，有助于评估行业整体的财务稳健性。同时，其应对策略和财务表现也为行业内其他面临相似转型压力的企业提供了有价值的参考和借鉴。</w:t>
      </w:r>
    </w:p>
    <w:p w14:paraId="0000000E">
      <w:pPr>
        <w:pStyle w:val="4"/>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w:hAnsi="Google Sans" w:eastAsia="Google Sans" w:cs="Google Sans"/>
          <w:color w:val="1B1C1D"/>
        </w:rPr>
      </w:pPr>
      <w:r>
        <w:rPr>
          <w:rFonts w:ascii="Google Sans" w:hAnsi="Google Sans" w:eastAsia="Google Sans" w:cs="Google Sans"/>
          <w:color w:val="1B1C1D"/>
          <w:rtl w:val="0"/>
        </w:rPr>
        <w:t>1.2 文献综述</w:t>
      </w:r>
    </w:p>
    <w:p w14:paraId="0000000F">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1.2.1 国内研究现状</w:t>
      </w:r>
    </w:p>
    <w:p w14:paraId="00000010">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国内学者对企业偿债能力的研究已较为深入。在汽车制造业领域，多数研究集中于运用传统的财务比率（如流动比率、资产负债率）构建评价指标体系，分析特定企业（如比亚迪、吉利）或整个行业的偿债能力状况。不少研究发现，汽车制造业整体资产规模大，负债水平普遍较高，但头部企业的短期偿债能力通常维持在较安全水平。然而，近年来，随着“价格战”愈演愈烈、上游原材料价格波动加剧，部分学者的研究开始指出，行业内企业的现金流压力明显增大，存货周转和应收账款管理对短期偿债能力的影响日益凸显。此外，亦有学者开始关注新能源转型带来的高额资本支出、绿色融资以及数字化转型等新因素对汽车企业偿债能力的中长期影响。</w:t>
      </w:r>
    </w:p>
    <w:p w14:paraId="00000011">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1.2.2 国外研究现状</w:t>
      </w:r>
    </w:p>
    <w:p w14:paraId="00000012">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国外关于偿债能力的研究已形成相对成熟和系统的理论框架，如莫迪格利安尼-米勒（Modigliani-Miller）的资本结构理论、阿特曼（Altman）的Z-score模型以及各类债务比率模型，这些都被广泛应用于企业信用风险评估和破产预测。近年的研究前沿开始向更细分的领域拓展，例如，有学者将企业的环境、社会和治理（ESG）表现纳入偿债能力分析框架，探讨高ESG评级是否有助于企业降低融资成本、增强偿债能力。同时，随着大数据和人工智能技术的发展，利用机器学习、文本挖掘等方法从海量数据中提取非财务信息，以提升财务风险预测准确性的研究也逐渐增多。</w:t>
      </w:r>
    </w:p>
    <w:p w14:paraId="00000013">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1.2.3 文献评述</w:t>
      </w:r>
    </w:p>
    <w:p w14:paraId="00000014">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综上所述，国内外研究为本文提供了坚实的理论基础和多元化的分析视角。现有研究多集中于单一企业的纵向分析或宏观的行业整体分析。然而，在当前产业剧变的特定背景下，缺乏将行业内具有代表性的头部企业（如长城汽车、比亚迪、吉利等）进行深度横向对比的研究。特别是在新能源转型和“价格战”的双重压力下，不同企业间的财务策略和风险暴露存在显著差异，而这种对比分析恰恰是识别企业个别风险、理解行业竞争格局的关键。因此，本文的研究切入点在于，结合最新的行业动态和财务数据，对长城汽车的偿债能力进行纵向与横向的综合对比分析，以弥补现有研究的不足。</w:t>
      </w:r>
    </w:p>
    <w:p w14:paraId="00000015">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1.3 研究内容与方法</w:t>
      </w:r>
    </w:p>
    <w:p w14:paraId="00000016">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1.3.1 研究内容</w:t>
      </w:r>
    </w:p>
    <w:p w14:paraId="0000001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本文主要围绕长城汽车的偿债能力展开，具体结构安排如下：</w:t>
      </w:r>
    </w:p>
    <w:p w14:paraId="0000001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第一章：绪论。介绍研究背景、意义、国内外文献综述及研究内容与方法。</w:t>
      </w:r>
    </w:p>
    <w:p w14:paraId="0000001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第二章：理论基础。阐述偿债能力的基本理论（定义、分类）及主要的财务分析指标体系。</w:t>
      </w:r>
    </w:p>
    <w:p w14:paraId="0000001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第三章：长城汽车偿债能力现状及对比分析。这是本文的核心，包括对长城汽车近五年财务状况的总体分析，并利用您上传的数据和（占位符）行业数据，对其短期和长期偿债能力进行纵向趋势分析和行业横向对比分析。</w:t>
      </w:r>
    </w:p>
    <w:p w14:paraId="0000001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第四章：存在的问题。基于第三章的分析，归纳长城汽车在偿债能力方面存在的潜在问题。</w:t>
      </w:r>
    </w:p>
    <w:p w14:paraId="0000001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第五章：结论与建议。总结全文研究结论，并提出针对性的建议。</w:t>
      </w:r>
    </w:p>
    <w:p w14:paraId="0000001D">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1.3.2 研究方法</w:t>
      </w:r>
    </w:p>
    <w:p w14:paraId="0000001E">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pPr>
      <w:r>
        <w:rPr>
          <w:rFonts w:ascii="Google Sans Text" w:hAnsi="Google Sans Text" w:eastAsia="Google Sans Text" w:cs="Google Sans Text"/>
          <w:b/>
          <w:bCs/>
          <w:color w:val="1B1C1D"/>
          <w:rtl w:val="0"/>
        </w:rPr>
        <w:t>文献研究法：</w:t>
      </w:r>
      <w:r>
        <w:rPr>
          <w:rFonts w:ascii="Google Sans Text" w:hAnsi="Google Sans Text" w:eastAsia="Google Sans Text" w:cs="Google Sans Text"/>
          <w:color w:val="1B1C1D"/>
          <w:rtl w:val="0"/>
        </w:rPr>
        <w:t xml:space="preserve"> 系统梳理国内外关于偿债能力分析、汽车行业财务风险的相关理论和研究成果，为本文构建理论基础和分析框架。</w:t>
      </w:r>
    </w:p>
    <w:p w14:paraId="0000001F">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pPr>
      <w:r>
        <w:rPr>
          <w:rFonts w:ascii="Google Sans Text" w:hAnsi="Google Sans Text" w:eastAsia="Google Sans Text" w:cs="Google Sans Text"/>
          <w:b/>
          <w:bCs/>
          <w:color w:val="1B1C1D"/>
          <w:rtl w:val="0"/>
        </w:rPr>
        <w:t>案例分析法：</w:t>
      </w:r>
      <w:r>
        <w:rPr>
          <w:rFonts w:ascii="Google Sans Text" w:hAnsi="Google Sans Text" w:eastAsia="Google Sans Text" w:cs="Google Sans Text"/>
          <w:color w:val="1B1C1D"/>
          <w:rtl w:val="0"/>
        </w:rPr>
        <w:t xml:space="preserve"> 深入剖析长城汽车这一典型案例，结合其经营战略（如新能源转型、全球化布局）和财务数据，分析其偿债能力的具体表现和成因。</w:t>
      </w:r>
    </w:p>
    <w:p w14:paraId="00000020">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pPr>
      <w:r>
        <w:rPr>
          <w:rFonts w:ascii="Google Sans Text" w:hAnsi="Google Sans Text" w:eastAsia="Google Sans Text" w:cs="Google Sans Text"/>
          <w:b/>
          <w:bCs/>
          <w:color w:val="1B1C1D"/>
          <w:rtl w:val="0"/>
        </w:rPr>
        <w:t>比较分析法：</w:t>
      </w:r>
    </w:p>
    <w:p w14:paraId="00000021">
      <w:pPr>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885" w:hanging="360"/>
      </w:pPr>
      <w:r>
        <w:rPr>
          <w:rFonts w:ascii="Google Sans Text" w:hAnsi="Google Sans Text" w:eastAsia="Google Sans Text" w:cs="Google Sans Text"/>
          <w:b/>
          <w:bCs/>
          <w:color w:val="1B1C1D"/>
          <w:rtl w:val="0"/>
        </w:rPr>
        <w:t>纵向比较：</w:t>
      </w:r>
      <w:r>
        <w:rPr>
          <w:rFonts w:ascii="Google Sans Text" w:hAnsi="Google Sans Text" w:eastAsia="Google Sans Text" w:cs="Google Sans Text"/>
          <w:color w:val="1B1C1D"/>
          <w:rtl w:val="0"/>
        </w:rPr>
        <w:t xml:space="preserve"> 分析长城汽车近五年（2020-2024年）的财务数据，揭示其偿债能力的动态变化趋势。</w:t>
      </w:r>
    </w:p>
    <w:p w14:paraId="00000022">
      <w:pPr>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885" w:hanging="360"/>
      </w:pPr>
      <w:r>
        <w:rPr>
          <w:rFonts w:ascii="Google Sans Text" w:hAnsi="Google Sans Text" w:eastAsia="Google Sans Text" w:cs="Google Sans Text"/>
          <w:b/>
          <w:bCs/>
          <w:color w:val="1B1C1D"/>
          <w:rtl w:val="0"/>
        </w:rPr>
        <w:t>横向比较：</w:t>
      </w:r>
      <w:r>
        <w:rPr>
          <w:rFonts w:ascii="Google Sans Text" w:hAnsi="Google Sans Text" w:eastAsia="Google Sans Text" w:cs="Google Sans Text"/>
          <w:color w:val="1B1C1D"/>
          <w:rtl w:val="0"/>
        </w:rPr>
        <w:t xml:space="preserve"> 选取行业内主要竞争对手（如比亚迪、吉利汽车等）作为参照系，对比分析长城汽车偿债能力在行业中所处的相对位置。</w:t>
      </w:r>
    </w:p>
    <w:p w14:paraId="00000023">
      <w:pPr>
        <w:pStyle w:val="3"/>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w:hAnsi="Google Sans" w:eastAsia="Google Sans" w:cs="Google Sans"/>
          <w:color w:val="1B1C1D"/>
        </w:rPr>
      </w:pPr>
      <w:r>
        <w:rPr>
          <w:rFonts w:ascii="Google Sans" w:hAnsi="Google Sans" w:eastAsia="Google Sans" w:cs="Google Sans"/>
          <w:color w:val="1B1C1D"/>
          <w:rtl w:val="0"/>
        </w:rPr>
        <w:t>第二章 理论基础</w:t>
      </w:r>
    </w:p>
    <w:p w14:paraId="00000024">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2.1 偿债能力理论</w:t>
      </w:r>
    </w:p>
    <w:p w14:paraId="00000025">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2.1.1 偿债能力的定义与重要性</w:t>
      </w:r>
    </w:p>
    <w:p w14:paraId="0000002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偿债能力（Solvency）是指企业偿还到期债务（包括本金和利息）的能力。它是企业财务健康的核心指标之一，直接关系到企业的生存和发展。一个企业即使拥有较强的盈利能力，但如果缺乏足够的现金流或资产流动性来偿还到期债务，就可能陷入财务困境，甚至面临破产清算的风险。因此，对企业偿债能力的分析是企业内部管理者、外部投资者、债权人以及监管机构共同关注的焦点。</w:t>
      </w:r>
    </w:p>
    <w:p w14:paraId="00000027">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2.1.2 偿债能力的分类</w:t>
      </w:r>
    </w:p>
    <w:p w14:paraId="00000028">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根据债务的期限长短，企业偿债能力通常分为短期偿债能力和长期偿债能力：</w:t>
      </w:r>
    </w:p>
    <w:p w14:paraId="00000029">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pPr>
      <w:r>
        <w:rPr>
          <w:rFonts w:ascii="Google Sans Text" w:hAnsi="Google Sans Text" w:eastAsia="Google Sans Text" w:cs="Google Sans Text"/>
          <w:b/>
          <w:bCs/>
          <w:color w:val="1B1C1D"/>
          <w:rtl w:val="0"/>
        </w:rPr>
        <w:t>短期偿债能力：</w:t>
      </w:r>
      <w:r>
        <w:rPr>
          <w:rFonts w:ascii="Google Sans Text" w:hAnsi="Google Sans Text" w:eastAsia="Google Sans Text" w:cs="Google Sans Text"/>
          <w:color w:val="1B1C1D"/>
          <w:rtl w:val="0"/>
        </w:rPr>
        <w:t xml:space="preserve"> 指企业偿还一年内（或一个营业周期内）到期债务的能力。这种能力主要依赖于企业流动资产的规模、质量和流动性。如果企业短期偿债能力不足，可能导致资金链断裂，影响日常运营。</w:t>
      </w:r>
    </w:p>
    <w:p w14:paraId="0000002A">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80" w:hanging="360"/>
      </w:pPr>
      <w:r>
        <w:rPr>
          <w:rFonts w:ascii="Google Sans Text" w:hAnsi="Google Sans Text" w:eastAsia="Google Sans Text" w:cs="Google Sans Text"/>
          <w:b/>
          <w:bCs/>
          <w:color w:val="1B1C1D"/>
          <w:rtl w:val="0"/>
        </w:rPr>
        <w:t>长期偿债能力：</w:t>
      </w:r>
      <w:r>
        <w:rPr>
          <w:rFonts w:ascii="Google Sans Text" w:hAnsi="Google Sans Text" w:eastAsia="Google Sans Text" w:cs="Google Sans Text"/>
          <w:color w:val="1B1C1D"/>
          <w:rtl w:val="0"/>
        </w:rPr>
        <w:t xml:space="preserve"> 指企业偿还一年以上到期债务的能力。这种能力不仅取决于企业的资产规模和盈利能力，更深层次地反映了企业的资本结构（即负债与所有者权益的比例）是否合理、企业是否能产生稳定且足够的长期现金流。</w:t>
      </w:r>
    </w:p>
    <w:p w14:paraId="0000002B">
      <w:pPr>
        <w:pStyle w:val="4"/>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w:hAnsi="Google Sans" w:eastAsia="Google Sans" w:cs="Google Sans"/>
          <w:color w:val="1B1C1D"/>
        </w:rPr>
      </w:pPr>
      <w:r>
        <w:rPr>
          <w:rFonts w:ascii="Google Sans" w:hAnsi="Google Sans" w:eastAsia="Google Sans" w:cs="Google Sans"/>
          <w:color w:val="1B1C1D"/>
          <w:rtl w:val="0"/>
        </w:rPr>
        <w:t>2.2 偿债能力分析指标体系</w:t>
      </w:r>
    </w:p>
    <w:p w14:paraId="0000002C">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2.2.1 短期偿债能力分析指标</w:t>
      </w:r>
      <w:bookmarkStart w:id="0" w:name="_GoBack"/>
      <w:bookmarkEnd w:id="0"/>
    </w:p>
    <w:p w14:paraId="0000002D">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pPr>
      <w:r>
        <w:rPr>
          <w:rFonts w:ascii="Google Sans Text" w:hAnsi="Google Sans Text" w:eastAsia="Google Sans Text" w:cs="Google Sans Text"/>
          <w:b/>
          <w:bCs/>
          <w:color w:val="1B1C1D"/>
          <w:rtl w:val="0"/>
        </w:rPr>
        <w:t>流动比率 (Current Ratio)</w:t>
      </w:r>
    </w:p>
    <w:p w14:paraId="0000002E">
      <w:pPr>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885" w:hanging="360"/>
      </w:pPr>
      <w:r>
        <w:rPr>
          <w:rFonts w:ascii="Google Sans Text" w:hAnsi="Google Sans Text" w:eastAsia="Google Sans Text" w:cs="Google Sans Text"/>
          <w:color w:val="1B1C1D"/>
          <w:rtl w:val="0"/>
        </w:rPr>
        <w:t>计算公式：流动比率 = 流动资产 / 流动负债</w:t>
      </w:r>
    </w:p>
    <w:p w14:paraId="0000002F">
      <w:pPr>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885" w:hanging="360"/>
      </w:pPr>
      <w:r>
        <w:rPr>
          <w:rFonts w:ascii="Google Sans Text" w:hAnsi="Google Sans Text" w:eastAsia="Google Sans Text" w:cs="Google Sans Text"/>
          <w:color w:val="1B1C1D"/>
          <w:rtl w:val="0"/>
        </w:rPr>
        <w:t>意义：反映企业每1元流动负债有多少流动资产作为偿还保障。比率越高，短期偿债能力越强。通常认为2是理想值，但不同行业差异很大。</w:t>
      </w:r>
    </w:p>
    <w:p w14:paraId="00000030">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pPr>
      <w:r>
        <w:rPr>
          <w:rFonts w:ascii="Google Sans Text" w:hAnsi="Google Sans Text" w:eastAsia="Google Sans Text" w:cs="Google Sans Text"/>
          <w:b/>
          <w:bCs/>
          <w:color w:val="1B1C1D"/>
          <w:rtl w:val="0"/>
        </w:rPr>
        <w:t>速动比率 (Quick Ratio)</w:t>
      </w:r>
    </w:p>
    <w:p w14:paraId="00000031">
      <w:pPr>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885" w:hanging="360"/>
      </w:pPr>
      <w:r>
        <w:rPr>
          <w:rFonts w:ascii="Google Sans Text" w:hAnsi="Google Sans Text" w:eastAsia="Google Sans Text" w:cs="Google Sans Text"/>
          <w:color w:val="1B1C1D"/>
          <w:rtl w:val="0"/>
        </w:rPr>
        <w:t>计算公式：速动比率 = (流动资产 - 存货) / 流动负债</w:t>
      </w:r>
    </w:p>
    <w:p w14:paraId="00000032">
      <w:pPr>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885" w:hanging="360"/>
      </w:pPr>
      <w:r>
        <w:rPr>
          <w:rFonts w:ascii="Google Sans Text" w:hAnsi="Google Sans Text" w:eastAsia="Google Sans Text" w:cs="Google Sans Text"/>
          <w:color w:val="1B1C1D"/>
          <w:rtl w:val="0"/>
        </w:rPr>
        <w:t>意义：存货被认为是流动资产中变现能力最差的部分。剔除存货后的速动比率更严格地衡量了企业立即偿还债务的能力。通常认为1是理想值。</w:t>
      </w:r>
    </w:p>
    <w:p w14:paraId="00000033">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pPr>
      <w:r>
        <w:rPr>
          <w:rFonts w:ascii="Google Sans Text" w:hAnsi="Google Sans Text" w:eastAsia="Google Sans Text" w:cs="Google Sans Text"/>
          <w:b/>
          <w:bCs/>
          <w:color w:val="1B1C1D"/>
          <w:rtl w:val="0"/>
        </w:rPr>
        <w:t>现金比率 (Cash Ratio)</w:t>
      </w:r>
    </w:p>
    <w:p w14:paraId="00000034">
      <w:pPr>
        <w:numPr>
          <w:ilvl w:val="1"/>
          <w:numId w:val="8"/>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885" w:hanging="360"/>
      </w:pPr>
      <w:r>
        <w:rPr>
          <w:rFonts w:ascii="Google Sans Text" w:hAnsi="Google Sans Text" w:eastAsia="Google Sans Text" w:cs="Google Sans Text"/>
          <w:color w:val="1B1C1D"/>
          <w:rtl w:val="0"/>
        </w:rPr>
        <w:t>计算公式：现金比率 = (货币资金 + 交易性金融资产) / 流动负债</w:t>
      </w:r>
    </w:p>
    <w:p w14:paraId="00000035">
      <w:pPr>
        <w:numPr>
          <w:ilvl w:val="1"/>
          <w:numId w:val="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885" w:hanging="360"/>
      </w:pPr>
      <w:r>
        <w:rPr>
          <w:rFonts w:ascii="Google Sans Text" w:hAnsi="Google Sans Text" w:eastAsia="Google Sans Text" w:cs="Google Sans Text"/>
          <w:color w:val="1B1C1D"/>
          <w:rtl w:val="0"/>
        </w:rPr>
        <w:t>意义：这是最保守的短期偿债能力指标，反映了企业可立即动用的现金类资产对流动负债的覆盖程度。</w:t>
      </w:r>
    </w:p>
    <w:p w14:paraId="00000036">
      <w:pPr>
        <w:pStyle w:val="5"/>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w:hAnsi="Google Sans" w:eastAsia="Google Sans" w:cs="Google Sans"/>
          <w:color w:val="1B1C1D"/>
        </w:rPr>
      </w:pPr>
      <w:r>
        <w:rPr>
          <w:rFonts w:ascii="Google Sans" w:hAnsi="Google Sans" w:eastAsia="Google Sans" w:cs="Google Sans"/>
          <w:color w:val="1B1C1D"/>
          <w:rtl w:val="0"/>
        </w:rPr>
        <w:t>2.2.2 长期偿债能力分析指标</w:t>
      </w:r>
    </w:p>
    <w:p w14:paraId="00000037">
      <w:pPr>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pPr>
      <w:r>
        <w:rPr>
          <w:rFonts w:ascii="Google Sans Text" w:hAnsi="Google Sans Text" w:eastAsia="Google Sans Text" w:cs="Google Sans Text"/>
          <w:b/>
          <w:bCs/>
          <w:color w:val="1B1C1D"/>
          <w:rtl w:val="0"/>
        </w:rPr>
        <w:t>资产负债率 (Debt-to-Asset Ratio)</w:t>
      </w:r>
    </w:p>
    <w:p w14:paraId="00000038">
      <w:pPr>
        <w:numPr>
          <w:ilvl w:val="1"/>
          <w:numId w:val="1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885" w:hanging="360"/>
      </w:pPr>
      <w:r>
        <w:rPr>
          <w:rFonts w:ascii="Google Sans Text" w:hAnsi="Google Sans Text" w:eastAsia="Google Sans Text" w:cs="Google Sans Text"/>
          <w:color w:val="1B1C1D"/>
          <w:rtl w:val="0"/>
        </w:rPr>
        <w:t>计算公式：资产负债率 = 总负债 / 总资产</w:t>
      </w:r>
    </w:p>
    <w:p w14:paraId="00000039">
      <w:pPr>
        <w:numPr>
          <w:ilvl w:val="1"/>
          <w:numId w:val="1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885" w:hanging="360"/>
      </w:pPr>
      <w:r>
        <w:rPr>
          <w:rFonts w:ascii="Google Sans Text" w:hAnsi="Google Sans Text" w:eastAsia="Google Sans Text" w:cs="Google Sans Text"/>
          <w:color w:val="1B1C1D"/>
          <w:rtl w:val="0"/>
        </w:rPr>
        <w:t>意义：反映总资产中有多少是通过负债筹集的。这是衡量企业资本结构和长期偿债能力的核心指标。比率过高，企业财务杠杆大，风险高；比率过低，可能意味着企业财务策略保守，未充分利用杠杆。</w:t>
      </w:r>
    </w:p>
    <w:p w14:paraId="0000003A">
      <w:pPr>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pPr>
      <w:r>
        <w:rPr>
          <w:rFonts w:ascii="Google Sans Text" w:hAnsi="Google Sans Text" w:eastAsia="Google Sans Text" w:cs="Google Sans Text"/>
          <w:b/>
          <w:bCs/>
          <w:color w:val="1B1C1D"/>
          <w:rtl w:val="0"/>
        </w:rPr>
        <w:t>利息保障倍数 (Interest Coverage Ratio)</w:t>
      </w:r>
    </w:p>
    <w:p w14:paraId="0000003B">
      <w:pPr>
        <w:numPr>
          <w:ilvl w:val="1"/>
          <w:numId w:val="11"/>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885" w:hanging="360"/>
      </w:pPr>
      <w:r>
        <w:rPr>
          <w:rFonts w:ascii="Google Sans Text" w:hAnsi="Google Sans Text" w:eastAsia="Google Sans Text" w:cs="Google Sans Text"/>
          <w:color w:val="1B1C1D"/>
          <w:rtl w:val="0"/>
        </w:rPr>
        <w:t>计算公式：利息保障倍数 = 息税前利润 (EBIT) / 利息费用</w:t>
      </w:r>
    </w:p>
    <w:p w14:paraId="0000003C">
      <w:pPr>
        <w:numPr>
          <w:ilvl w:val="1"/>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885" w:hanging="360"/>
      </w:pPr>
      <w:r>
        <w:rPr>
          <w:rFonts w:ascii="Google Sans Text" w:hAnsi="Google Sans Text" w:eastAsia="Google Sans Text" w:cs="Google Sans Text"/>
          <w:color w:val="1B1C1D"/>
          <w:rtl w:val="0"/>
        </w:rPr>
        <w:t>意义：衡量企业经营利润偿付债务利息的能力。倍数越高，说明企业偿付利息的缓冲越厚，长期偿债能力越有保障。</w:t>
      </w:r>
    </w:p>
    <w:p w14:paraId="0000003D">
      <w:pPr>
        <w:pStyle w:val="3"/>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w:hAnsi="Google Sans" w:eastAsia="Google Sans" w:cs="Google Sans"/>
          <w:color w:val="1B1C1D"/>
        </w:rPr>
      </w:pPr>
      <w:r>
        <w:rPr>
          <w:rFonts w:ascii="Google Sans" w:hAnsi="Google Sans" w:eastAsia="Google Sans" w:cs="Google Sans"/>
          <w:color w:val="1B1C1D"/>
          <w:rtl w:val="0"/>
        </w:rPr>
        <w:t>第三章 长城汽车股份有限公司偿债能力现状及对比分析</w:t>
      </w:r>
    </w:p>
    <w:p w14:paraId="0000003E">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3.1 长城汽车股份有限公司简介及财务状况</w:t>
      </w:r>
    </w:p>
    <w:p w14:paraId="0000003F">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3.1.1 长城汽车股份有限公司简介</w:t>
      </w:r>
    </w:p>
    <w:p w14:paraId="00000040">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长城汽车是中国主要的汽车制造商之一，成立于1984年，总部位于河北保定。公司业务涵盖SUV、轿车、皮卡三大品类，旗下拥有哈弗、魏牌（WEY）、欧拉（ORA）、坦克（TANK）及长城皮卡等多个品牌。长城汽车在SUV和皮卡领域长期保持市场领先地位，近年来正加速向新能源和智能化转型，积极布局全球市场。</w:t>
      </w:r>
    </w:p>
    <w:p w14:paraId="00000041">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3.1.2 长城汽车股份有限公司整体财务状况分析</w:t>
      </w:r>
    </w:p>
    <w:p w14:paraId="00000042">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注：此处应基于近3-5年财报，对长城汽车的资产规模、营收、利润等总体趋势进行简要描述。例如：从2020年至2024年，长城汽车的总资产规模呈...趋势，营业收入...，但净利润...，这反映了行业竞争加剧和转型投入加大的影响。）</w:t>
      </w:r>
    </w:p>
    <w:p w14:paraId="00000043">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3.2 长城汽车股份有限公司偿债能力对比分析</w:t>
      </w:r>
    </w:p>
    <w:p w14:paraId="00000044">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3.2.1 短期偿债能力对比分析</w:t>
      </w:r>
    </w:p>
    <w:p w14:paraId="0000004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1. 长城汽车短期偿债能力纵向趋势分析</w:t>
      </w:r>
    </w:p>
    <w:p w14:paraId="0000004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根据您提供的财务数据（露.xlsx），我们整理出长城汽车2020年至2024年的短期偿债能力指标如下表所示：</w:t>
      </w:r>
    </w:p>
    <w:p w14:paraId="0000004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表 3-1：长城汽车2020-2024年短期偿债能力指标</w:t>
      </w:r>
    </w:p>
    <w:tbl>
      <w:tblPr>
        <w:tblStyle w:val="13"/>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42A429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年份 (Year)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流动比率 (Current Ratio)</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速动比率 (Quick Ratio)</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现金比率 (Cash Ratio)</w:t>
            </w:r>
          </w:p>
        </w:tc>
      </w:tr>
      <w:tr w14:paraId="0AE81E3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2024</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1.09</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0.88</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0.37</w:t>
            </w:r>
          </w:p>
        </w:tc>
      </w:tr>
      <w:tr w14:paraId="6F7118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2023</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1.07</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0.83</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0.38</w:t>
            </w:r>
          </w:p>
        </w:tc>
      </w:tr>
      <w:tr w14:paraId="10D69D6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2022</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1.12</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0.89</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0.39</w:t>
            </w:r>
          </w:p>
        </w:tc>
      </w:tr>
      <w:tr w14:paraId="116BF6C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2021</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1.13</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0.98</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0.41</w:t>
            </w:r>
          </w:p>
        </w:tc>
      </w:tr>
      <w:tr w14:paraId="6ABA2DD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1.22</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1.13</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0.24</w:t>
            </w:r>
          </w:p>
        </w:tc>
      </w:tr>
      <w:tr w14:paraId="2C2EDC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r>
              <w:rPr>
                <w:rFonts w:ascii="Google Sans Text" w:hAnsi="Google Sans Text" w:eastAsia="Google Sans Text" w:cs="Google Sans Text"/>
                <w:i/>
                <w:iCs/>
                <w:color w:val="1B1C1D"/>
                <w:shd w:val="clear" w:fill="auto"/>
                <w:rtl w:val="0"/>
              </w:rPr>
              <w:t>(数据来源：用户提供的CSV文件)</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r>
    </w:tbl>
    <w:p w14:paraId="00000064">
      <w:pPr>
        <w:pBdr>
          <w:top w:val="none" w:color="auto" w:sz="0" w:space="0"/>
          <w:left w:val="none" w:color="auto" w:sz="0" w:space="0"/>
          <w:bottom w:val="none" w:color="auto" w:sz="0" w:space="0"/>
          <w:right w:val="none" w:color="auto" w:sz="0" w:space="0"/>
          <w:between w:val="none" w:color="auto" w:sz="0" w:space="0"/>
        </w:pBdr>
        <w:shd w:val="clear" w:fill="auto"/>
        <w:spacing w:before="480" w:line="275" w:lineRule="auto"/>
        <w:rPr>
          <w:rFonts w:ascii="Google Sans Text" w:hAnsi="Google Sans Text" w:eastAsia="Google Sans Text" w:cs="Google Sans Text"/>
        </w:rPr>
      </w:pPr>
      <w:r>
        <w:rPr>
          <w:rFonts w:ascii="Google Sans Text" w:hAnsi="Google Sans Text" w:eastAsia="Google Sans Text" w:cs="Google Sans Text"/>
          <w:rtl w:val="0"/>
        </w:rPr>
        <w:t>[图表占位符：图 3-1：长城汽车2020-2024年短期偿债能力指标趋势图]</w:t>
      </w:r>
    </w:p>
    <w:p w14:paraId="0000006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（建议：此处可使用表3-1的数据制作折线图）</w:t>
      </w:r>
    </w:p>
    <w:p w14:paraId="00000066">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从纵向趋势看：</w:t>
      </w:r>
    </w:p>
    <w:p w14:paraId="00000067">
      <w:pPr>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pPr>
      <w:r>
        <w:rPr>
          <w:rFonts w:ascii="Google Sans Text" w:hAnsi="Google Sans Text" w:eastAsia="Google Sans Text" w:cs="Google Sans Text"/>
          <w:b/>
          <w:bCs/>
          <w:color w:val="1B1C1D"/>
          <w:rtl w:val="0"/>
        </w:rPr>
        <w:t>流动比率：</w:t>
      </w:r>
      <w:r>
        <w:rPr>
          <w:rFonts w:ascii="Google Sans Text" w:hAnsi="Google Sans Text" w:eastAsia="Google Sans Text" w:cs="Google Sans Text"/>
          <w:color w:val="1B1C1D"/>
          <w:rtl w:val="0"/>
        </w:rPr>
        <w:t xml:space="preserve"> 长城汽车的流动比率在2020年为1.22，随后在2021-2023年间小幅波动并下降至1.07，2024年略微回升至1.09。整体来看，该比率均维持在1以上，表明流动资产对流动负债的覆盖尚可，但已逼近1的临界值，且呈下降趋势，短期偿债压力有所增加。</w:t>
      </w:r>
    </w:p>
    <w:p w14:paraId="00000068">
      <w:pPr>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65" w:hanging="360"/>
      </w:pPr>
      <w:r>
        <w:rPr>
          <w:rFonts w:ascii="Google Sans Text" w:hAnsi="Google Sans Text" w:eastAsia="Google Sans Text" w:cs="Google Sans Text"/>
          <w:b/>
          <w:bCs/>
          <w:color w:val="1B1C1D"/>
          <w:rtl w:val="0"/>
        </w:rPr>
        <w:t>速动比率：</w:t>
      </w:r>
      <w:r>
        <w:rPr>
          <w:rFonts w:ascii="Google Sans Text" w:hAnsi="Google Sans Text" w:eastAsia="Google Sans Text" w:cs="Google Sans Text"/>
          <w:color w:val="1B1C1D"/>
          <w:rtl w:val="0"/>
        </w:rPr>
        <w:t xml:space="preserve"> 速动比率的变化趋势与流动比率基本一致，从2020年的1.13（高于1）下降至2024年的0.88（低于1）。这一下降趋势更为明显，表明剔除存货后，企业的短期偿债能力有所弱化。结合CSV数据中的存货（Inventory）从2020年的74.98亿大幅增加至2024年的254.4亿，可以看出存货占压了大量流动资金，是导致速动比率下降的主要原因之一，这可能与行业竞争加剧、产成品周转放缓有关。</w:t>
      </w:r>
    </w:p>
    <w:p w14:paraId="00000069">
      <w:pPr>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pPr>
      <w:r>
        <w:rPr>
          <w:rFonts w:ascii="Google Sans Text" w:hAnsi="Google Sans Text" w:eastAsia="Google Sans Text" w:cs="Google Sans Text"/>
          <w:b/>
          <w:bCs/>
          <w:color w:val="1B1C1D"/>
          <w:rtl w:val="0"/>
        </w:rPr>
        <w:t>现金比率：</w:t>
      </w:r>
      <w:r>
        <w:rPr>
          <w:rFonts w:ascii="Google Sans Text" w:hAnsi="Google Sans Text" w:eastAsia="Google Sans Text" w:cs="Google Sans Text"/>
          <w:color w:val="1B1C1D"/>
          <w:rtl w:val="0"/>
        </w:rPr>
        <w:t xml:space="preserve"> 现金比率在2020年较低（0.24），2021-2023年维持在0.38-0.41的水平，2024年微降至0.37。虽然有所改善，但总体处于偏低水平，表明企业可立即动用的现金类资产对流动负债的覆盖能力相对有限。</w:t>
      </w:r>
    </w:p>
    <w:p w14:paraId="0000006A">
      <w:pPr>
        <w:pBdr>
          <w:top w:val="none" w:color="auto" w:sz="0" w:space="0"/>
          <w:left w:val="none" w:color="auto" w:sz="0" w:space="0"/>
          <w:bottom w:val="none" w:color="auto" w:sz="0" w:space="0"/>
          <w:right w:val="none" w:color="auto" w:sz="0" w:space="0"/>
          <w:between w:val="none" w:color="auto" w:sz="0" w:space="0"/>
        </w:pBdr>
        <w:shd w:val="clear" w:fill="auto"/>
        <w:spacing w:before="120"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2. 与同行的横向对比分析</w:t>
      </w:r>
    </w:p>
    <w:p w14:paraId="0000006B">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为更准确评估长城汽车的短期偿债能力，我们选取行业内主要竞争对手比亚迪（A）和吉利汽车（B）进行2024年数据（注：此处为占位符数据）的横向对比。</w:t>
      </w:r>
    </w:p>
    <w:p w14:paraId="0000006C">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表 3-2：2024年主要车企短期偿债能力指标对比（示例数据）</w:t>
      </w:r>
    </w:p>
    <w:tbl>
      <w:tblPr>
        <w:tblStyle w:val="14"/>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5D4084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公司</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E">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流动比率</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F">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速动比率</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0">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现金比率</w:t>
            </w:r>
          </w:p>
        </w:tc>
      </w:tr>
      <w:tr w14:paraId="2CA1A2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长城汽车</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1.09</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0.88</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0.37</w:t>
            </w:r>
          </w:p>
        </w:tc>
      </w:tr>
      <w:tr w14:paraId="0101E47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比亚迪 (A)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1.20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0.95</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0.40</w:t>
            </w:r>
          </w:p>
        </w:tc>
      </w:tr>
      <w:tr w14:paraId="425FC8E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吉利汽车 (B)</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1.15</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0.90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0.35</w:t>
            </w:r>
          </w:p>
        </w:tc>
      </w:tr>
      <w:tr w14:paraId="0B6011D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行业均值</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1.18</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0.92</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0.38</w:t>
            </w:r>
          </w:p>
        </w:tc>
      </w:tr>
      <w:tr w14:paraId="0810FB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r>
              <w:rPr>
                <w:rFonts w:ascii="Google Sans Text" w:hAnsi="Google Sans Text" w:eastAsia="Google Sans Text" w:cs="Google Sans Text"/>
                <w:i/>
                <w:iCs/>
                <w:color w:val="1B1C1D"/>
                <w:shd w:val="clear" w:fill="auto"/>
                <w:rtl w:val="0"/>
              </w:rPr>
              <w:t>(数据来源：此处为示例数据，请替换为真实数据)</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r>
    </w:tbl>
    <w:p w14:paraId="00000085">
      <w:pPr>
        <w:pBdr>
          <w:top w:val="none" w:color="auto" w:sz="0" w:space="0"/>
          <w:left w:val="none" w:color="auto" w:sz="0" w:space="0"/>
          <w:bottom w:val="none" w:color="auto" w:sz="0" w:space="0"/>
          <w:right w:val="none" w:color="auto" w:sz="0" w:space="0"/>
          <w:between w:val="none" w:color="auto" w:sz="0" w:space="0"/>
        </w:pBdr>
        <w:shd w:val="clear" w:fill="auto"/>
        <w:spacing w:before="480"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[图表占位符：图 3-2：2024年主要车企短期偿债能力指标对比柱状图]</w:t>
      </w:r>
    </w:p>
    <w:p w14:paraId="0000008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分析示例）通过横向对比发现，长城汽车2024年的流动比率（1.09）和速动比率（0.88）均低于比亚迪和吉利汽车，也低于行业均值水平。这表明，相较于主要竞争对手，长城汽车的短期偿债能力偏弱，流动性压力相对更大。这可能与其存货规模较大、应收账款周转（需补充分析）等因素有关。</w:t>
      </w:r>
    </w:p>
    <w:p w14:paraId="00000087">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3.2.2 长期偿债能力对比分析</w:t>
      </w:r>
    </w:p>
    <w:p w14:paraId="0000008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1. 长城汽车长期偿债能力纵向趋势分析</w:t>
      </w:r>
    </w:p>
    <w:p w14:paraId="0000008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（注：由于CSV未提供长期数据，此处使用占位符数据进行示例分析）</w:t>
      </w:r>
    </w:p>
    <w:p w14:paraId="0000008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表 3-3：长城汽车2020-2024年长期偿债能力指标（示例数据）</w:t>
      </w:r>
    </w:p>
    <w:tbl>
      <w:tblPr>
        <w:tblStyle w:val="15"/>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438F19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年份 (Year)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资产负债率 (%)</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利息保障倍数 (倍)</w:t>
            </w:r>
          </w:p>
        </w:tc>
      </w:tr>
      <w:tr w14:paraId="28EF41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2024</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67.0%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5.0</w:t>
            </w:r>
          </w:p>
        </w:tc>
      </w:tr>
      <w:tr w14:paraId="02E1DE4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2023</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68.0%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4.8</w:t>
            </w:r>
          </w:p>
        </w:tc>
      </w:tr>
      <w:tr w14:paraId="438A55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2022</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65.0%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5.2</w:t>
            </w:r>
          </w:p>
        </w:tc>
      </w:tr>
      <w:tr w14:paraId="5D3EDB8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2021</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62.0%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6.0</w:t>
            </w:r>
          </w:p>
        </w:tc>
      </w:tr>
      <w:tr w14:paraId="2F01B5D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2020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5.5</w:t>
            </w:r>
          </w:p>
        </w:tc>
      </w:tr>
      <w:tr w14:paraId="7EC76AF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r>
              <w:rPr>
                <w:rFonts w:ascii="Google Sans Text" w:hAnsi="Google Sans Text" w:eastAsia="Google Sans Text" w:cs="Google Sans Text"/>
                <w:i/>
                <w:iCs/>
                <w:color w:val="1B1C1D"/>
                <w:shd w:val="clear" w:fill="auto"/>
                <w:rtl w:val="0"/>
              </w:rPr>
              <w:t>(数据来源：此处为示例数据，请替换为真实数据)</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r>
    </w:tbl>
    <w:p w14:paraId="000000A0">
      <w:pPr>
        <w:pBdr>
          <w:top w:val="none" w:color="auto" w:sz="0" w:space="0"/>
          <w:left w:val="none" w:color="auto" w:sz="0" w:space="0"/>
          <w:bottom w:val="none" w:color="auto" w:sz="0" w:space="0"/>
          <w:right w:val="none" w:color="auto" w:sz="0" w:space="0"/>
          <w:between w:val="none" w:color="auto" w:sz="0" w:space="0"/>
        </w:pBdr>
        <w:shd w:val="clear" w:fill="auto"/>
        <w:spacing w:before="480"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[图表占位符：图 3-3：长城汽车2020-2024年长期偿债能力指标趋势图]</w:t>
      </w:r>
    </w:p>
    <w:p w14:paraId="000000A1">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（分析示例）从纵向趋势看：</w:t>
      </w:r>
    </w:p>
    <w:p w14:paraId="000000A2">
      <w:pPr>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pPr>
      <w:r>
        <w:rPr>
          <w:rFonts w:ascii="Google Sans Text" w:hAnsi="Google Sans Text" w:eastAsia="Google Sans Text" w:cs="Google Sans Text"/>
          <w:b/>
          <w:bCs/>
          <w:color w:val="1B1C1D"/>
          <w:rtl w:val="0"/>
        </w:rPr>
        <w:t>资产负债率：</w:t>
      </w:r>
      <w:r>
        <w:rPr>
          <w:rFonts w:ascii="Google Sans Text" w:hAnsi="Google Sans Text" w:eastAsia="Google Sans Text" w:cs="Google Sans Text"/>
          <w:color w:val="1B1C1D"/>
          <w:rtl w:val="0"/>
        </w:rPr>
        <w:t xml:space="preserve"> 长城汽车的资产负债率从2020年的60.0%持续攀升至2023年的68.0%，2024年略降至67.0%。整体上升趋势明显，表明企业在近年来的扩张和转型中更多地依赖于负债融资，财务杠杆有所提高，长期偿债风险随之增加。</w:t>
      </w:r>
    </w:p>
    <w:p w14:paraId="000000A3">
      <w:pPr>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pPr>
      <w:r>
        <w:rPr>
          <w:rFonts w:ascii="Google Sans Text" w:hAnsi="Google Sans Text" w:eastAsia="Google Sans Text" w:cs="Google Sans Text"/>
          <w:b/>
          <w:bCs/>
          <w:color w:val="1B1C1D"/>
          <w:rtl w:val="0"/>
        </w:rPr>
        <w:t>利息保障倍数：</w:t>
      </w:r>
      <w:r>
        <w:rPr>
          <w:rFonts w:ascii="Google Sans Text" w:hAnsi="Google Sans Text" w:eastAsia="Google Sans Text" w:cs="Google Sans Text"/>
          <w:color w:val="1B1C1D"/>
          <w:rtl w:val="0"/>
        </w:rPr>
        <w:t xml:space="preserve"> 利息保障倍数在2021年达到峰值6.0倍后呈下降趋势，2023年降至4.8倍。这表明企业的息税前利润（EBIT）增速未能跟上利息费用的增长，支付利息的能力有所减弱，这可能与“价格战”导致盈利能力波动有关。</w:t>
      </w:r>
    </w:p>
    <w:p w14:paraId="000000A4">
      <w:pPr>
        <w:pBdr>
          <w:top w:val="none" w:color="auto" w:sz="0" w:space="0"/>
          <w:left w:val="none" w:color="auto" w:sz="0" w:space="0"/>
          <w:bottom w:val="none" w:color="auto" w:sz="0" w:space="0"/>
          <w:right w:val="none" w:color="auto" w:sz="0" w:space="0"/>
          <w:between w:val="none" w:color="auto" w:sz="0" w:space="0"/>
        </w:pBdr>
        <w:shd w:val="clear" w:fill="auto"/>
        <w:spacing w:before="120"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2. 与同行的横向对比分析</w:t>
      </w:r>
    </w:p>
    <w:p w14:paraId="000000A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表 3-4：2024年主要车企长期偿债能力指标对比（示例数据）</w:t>
      </w:r>
    </w:p>
    <w:tbl>
      <w:tblPr>
        <w:tblStyle w:val="16"/>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6BE5E6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公司</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7">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资产负债率 (%)</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Text" w:hAnsi="Google Sans Text" w:eastAsia="Google Sans Text" w:cs="Google Sans Text"/>
                <w:b/>
                <w:bCs/>
                <w:color w:val="1B1C1D"/>
                <w:shd w:val="clear" w:fill="auto"/>
              </w:rPr>
            </w:pPr>
            <w:r>
              <w:rPr>
                <w:rFonts w:ascii="Google Sans Text" w:hAnsi="Google Sans Text" w:eastAsia="Google Sans Text" w:cs="Google Sans Text"/>
                <w:b/>
                <w:bCs/>
                <w:color w:val="1B1C1D"/>
                <w:shd w:val="clear" w:fill="auto"/>
                <w:rtl w:val="0"/>
              </w:rPr>
              <w:t>利息保障倍数 (倍)</w:t>
            </w:r>
          </w:p>
        </w:tc>
      </w:tr>
      <w:tr w14:paraId="51EC55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长城汽车</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67.0%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5.0</w:t>
            </w:r>
          </w:p>
        </w:tc>
      </w:tr>
      <w:tr w14:paraId="3ADEFF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比亚迪 (A)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70.0%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5.5</w:t>
            </w:r>
          </w:p>
        </w:tc>
      </w:tr>
      <w:tr w14:paraId="07A049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吉利汽车 (B)</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65.0%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6.0</w:t>
            </w:r>
          </w:p>
        </w:tc>
      </w:tr>
      <w:tr w14:paraId="2D2C1E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行业均值</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68.0%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color w:val="1B1C1D"/>
                <w:shd w:val="clear" w:fill="auto"/>
              </w:rPr>
            </w:pPr>
            <w:r>
              <w:rPr>
                <w:rFonts w:ascii="Google Sans Text" w:hAnsi="Google Sans Text" w:eastAsia="Google Sans Text" w:cs="Google Sans Text"/>
                <w:color w:val="1B1C1D"/>
                <w:shd w:val="clear" w:fill="auto"/>
                <w:rtl w:val="0"/>
              </w:rPr>
              <w:t>5.3</w:t>
            </w:r>
          </w:p>
        </w:tc>
      </w:tr>
      <w:tr w14:paraId="08FE28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r>
              <w:rPr>
                <w:rFonts w:ascii="Google Sans Text" w:hAnsi="Google Sans Text" w:eastAsia="Google Sans Text" w:cs="Google Sans Text"/>
                <w:i/>
                <w:iCs/>
                <w:color w:val="1B1C1D"/>
                <w:shd w:val="clear" w:fill="auto"/>
                <w:rtl w:val="0"/>
              </w:rPr>
              <w:t>(数据来源：此处为示例数据，请替换为真实数据)</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i/>
                <w:iCs/>
                <w:color w:val="1B1C1D"/>
                <w:shd w:val="clear" w:fill="auto"/>
              </w:rPr>
            </w:pPr>
          </w:p>
        </w:tc>
      </w:tr>
    </w:tbl>
    <w:p w14:paraId="000000B8">
      <w:pPr>
        <w:pBdr>
          <w:top w:val="none" w:color="auto" w:sz="0" w:space="0"/>
          <w:left w:val="none" w:color="auto" w:sz="0" w:space="0"/>
          <w:bottom w:val="none" w:color="auto" w:sz="0" w:space="0"/>
          <w:right w:val="none" w:color="auto" w:sz="0" w:space="0"/>
          <w:between w:val="none" w:color="auto" w:sz="0" w:space="0"/>
        </w:pBdr>
        <w:shd w:val="clear" w:fill="auto"/>
        <w:spacing w:before="480" w:after="240" w:line="275" w:lineRule="auto"/>
        <w:rPr>
          <w:rFonts w:ascii="Google Sans Text" w:hAnsi="Google Sans Text" w:eastAsia="Google Sans Text" w:cs="Google Sans Text"/>
          <w:b/>
          <w:bCs/>
          <w:color w:val="1B1C1D"/>
        </w:rPr>
      </w:pPr>
      <w:r>
        <w:rPr>
          <w:rFonts w:ascii="Google Sans Text" w:hAnsi="Google Sans Text" w:eastAsia="Google Sans Text" w:cs="Google Sans Text"/>
          <w:b/>
          <w:bCs/>
          <w:color w:val="1B1C1D"/>
          <w:rtl w:val="0"/>
        </w:rPr>
        <w:t>[图表占位符：图 3-4：2024年主要车企长期偿债能力指标对比柱状图]</w:t>
      </w:r>
    </w:p>
    <w:p w14:paraId="000000B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分析示例）通过横向对比发现，长城汽车2024年的资产负债率（67.0%）处于行业中等水平，略低于比亚迪（70.0%），但高于吉利汽车（65.0%）。其利息保障倍数（5.0倍）则低于两家竞争对手和行业均值，反映其盈利能力对利息的覆盖保障相对较弱。总体而言，长城汽车的长期偿债能力在行业中处于中等偏下水平，资本结构和盈利稳定性有待优化。</w:t>
      </w:r>
    </w:p>
    <w:p w14:paraId="000000BA">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3.2.3 本章小结</w:t>
      </w:r>
    </w:p>
    <w:p w14:paraId="000000BB">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综合短期和长期偿债能力分析，长城汽车的财务状况呈现以下特点：</w:t>
      </w:r>
    </w:p>
    <w:p w14:paraId="000000BC">
      <w:pPr>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pPr>
      <w:r>
        <w:rPr>
          <w:rFonts w:ascii="Google Sans Text" w:hAnsi="Google Sans Text" w:eastAsia="Google Sans Text" w:cs="Google Sans Text"/>
          <w:b/>
          <w:bCs/>
          <w:color w:val="1B1C1D"/>
          <w:rtl w:val="0"/>
        </w:rPr>
        <w:t>短期偿债能力趋紧：</w:t>
      </w:r>
      <w:r>
        <w:rPr>
          <w:rFonts w:ascii="Google Sans Text" w:hAnsi="Google Sans Text" w:eastAsia="Google Sans Text" w:cs="Google Sans Text"/>
          <w:color w:val="1B1C1D"/>
          <w:rtl w:val="0"/>
        </w:rPr>
        <w:t xml:space="preserve"> 流动比率和速动比率均呈下降趋势，特别是速动比率已低于1，表明存货占压资金问题突出，短期流动性压力增大，在行业对比中处于劣势。</w:t>
      </w:r>
    </w:p>
    <w:p w14:paraId="000000BD">
      <w:pPr>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80" w:hanging="360"/>
      </w:pPr>
      <w:r>
        <w:rPr>
          <w:rFonts w:ascii="Google Sans Text" w:hAnsi="Google Sans Text" w:eastAsia="Google Sans Text" w:cs="Google Sans Text"/>
          <w:b/>
          <w:bCs/>
          <w:color w:val="1B1C1D"/>
          <w:rtl w:val="0"/>
        </w:rPr>
        <w:t>长期偿债风险上升：</w:t>
      </w:r>
      <w:r>
        <w:rPr>
          <w:rFonts w:ascii="Google Sans Text" w:hAnsi="Google Sans Text" w:eastAsia="Google Sans Text" w:cs="Google Sans Text"/>
          <w:color w:val="1B1C1D"/>
          <w:rtl w:val="0"/>
        </w:rPr>
        <w:t xml:space="preserve"> 资产负债率逐年攀升，财务杠杆加大；同时利息保障倍数下降，显示出盈利能力对债务的支撑有所减弱。</w:t>
      </w:r>
    </w:p>
    <w:p w14:paraId="000000BE">
      <w:pPr>
        <w:pBdr>
          <w:top w:val="none" w:color="auto" w:sz="0" w:space="0"/>
          <w:left w:val="none" w:color="auto" w:sz="0" w:space="0"/>
          <w:bottom w:val="none" w:color="auto" w:sz="0" w:space="0"/>
          <w:right w:val="none" w:color="auto" w:sz="0" w:space="0"/>
          <w:between w:val="none" w:color="auto" w:sz="0" w:space="0"/>
        </w:pBdr>
        <w:shd w:val="clear" w:fill="auto"/>
        <w:spacing w:before="120"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这些变化与长城汽车所处的内外部环境密切相关。</w:t>
      </w:r>
      <w:r>
        <w:rPr>
          <w:rFonts w:ascii="Google Sans Text" w:hAnsi="Google Sans Text" w:eastAsia="Google Sans Text" w:cs="Google Sans Text"/>
          <w:b/>
          <w:bCs/>
          <w:color w:val="1B1C1D"/>
          <w:rtl w:val="0"/>
        </w:rPr>
        <w:t>内部因素</w:t>
      </w:r>
      <w:r>
        <w:rPr>
          <w:rFonts w:ascii="Google Sans Text" w:hAnsi="Google Sans Text" w:eastAsia="Google Sans Text" w:cs="Google Sans Text"/>
          <w:color w:val="1B1C1D"/>
          <w:rtl w:val="0"/>
        </w:rPr>
        <w:t>方面，为应对行业变革，公司持续加大在新能源和智能化领域的研发和固定资产投入，导致资本支出巨大；同时，存货管理和运营效率（需补充数据）可能是其短板。</w:t>
      </w:r>
      <w:r>
        <w:rPr>
          <w:rFonts w:ascii="Google Sans Text" w:hAnsi="Google Sans Text" w:eastAsia="Google Sans Text" w:cs="Google Sans Text"/>
          <w:b/>
          <w:bCs/>
          <w:color w:val="1B1C1D"/>
          <w:rtl w:val="0"/>
        </w:rPr>
        <w:t>外部因素</w:t>
      </w:r>
      <w:r>
        <w:rPr>
          <w:rFonts w:ascii="Google Sans Text" w:hAnsi="Google Sans Text" w:eastAsia="Google Sans Text" w:cs="Google Sans Text"/>
          <w:color w:val="1B1C1D"/>
          <w:rtl w:val="0"/>
        </w:rPr>
        <w:t>方面，宏观经济增速放缓影响汽车消费，行业“价格战”压缩盈利空间，以及融资环境的变化，都对企业的偿债能力构成了严峻挑战。</w:t>
      </w:r>
    </w:p>
    <w:p w14:paraId="000000BF">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第四章 存在的问题</w:t>
      </w:r>
    </w:p>
    <w:p w14:paraId="000000C0">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基于第三章的实证分析，长城汽车在偿债能力方面主要存在以下几个问题：</w:t>
      </w:r>
    </w:p>
    <w:p w14:paraId="000000C1">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pPr>
      <w:r>
        <w:rPr>
          <w:rFonts w:ascii="Google Sans Text" w:hAnsi="Google Sans Text" w:eastAsia="Google Sans Text" w:cs="Google Sans Text"/>
          <w:b/>
          <w:bCs/>
          <w:color w:val="1B1C1D"/>
          <w:rtl w:val="0"/>
        </w:rPr>
        <w:t>资本结构优化不足，长期偿债风险积聚：</w:t>
      </w:r>
      <w:r>
        <w:rPr>
          <w:rFonts w:ascii="Google Sans Text" w:hAnsi="Google Sans Text" w:eastAsia="Google Sans Text" w:cs="Google Sans Text"/>
          <w:color w:val="1B1C1D"/>
          <w:rtl w:val="0"/>
        </w:rPr>
        <w:t xml:space="preserve"> 公司资产负债率持续攀升（基于示例数据），显示出对债务融资的依赖性增强。虽然适度的财务杠杆有助于企业发展，但过高的杠杆在行业下行周期或企业经营波动时，将急剧放大财务风险，威胁长期偿债能力。</w:t>
      </w:r>
    </w:p>
    <w:p w14:paraId="000000C2">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pPr>
      <w:r>
        <w:rPr>
          <w:rFonts w:ascii="Google Sans Text" w:hAnsi="Google Sans Text" w:eastAsia="Google Sans Text" w:cs="Google Sans Text"/>
          <w:b/>
          <w:bCs/>
          <w:color w:val="1B1C1D"/>
          <w:rtl w:val="0"/>
        </w:rPr>
        <w:t>盈利能力波动较大，对债务的保障能力减弱：</w:t>
      </w:r>
      <w:r>
        <w:rPr>
          <w:rFonts w:ascii="Google Sans Text" w:hAnsi="Google Sans Text" w:eastAsia="Google Sans Text" w:cs="Google Sans Text"/>
          <w:color w:val="1B1C1D"/>
          <w:rtl w:val="0"/>
        </w:rPr>
        <w:t xml:space="preserve"> 利息保障倍数的下降（基于示例数据）是盈利能力不稳定的直接体现。在“价格战”和高研发投入的双重挤压下，如果EBIT无法保持稳定增长，企业偿付高额利息的压力将持续增大。</w:t>
      </w:r>
    </w:p>
    <w:p w14:paraId="000000C3">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pPr>
      <w:r>
        <w:rPr>
          <w:rFonts w:ascii="Google Sans Text" w:hAnsi="Google Sans Text" w:eastAsia="Google Sans Text" w:cs="Google Sans Text"/>
          <w:b/>
          <w:bCs/>
          <w:color w:val="1B1C1D"/>
          <w:rtl w:val="0"/>
        </w:rPr>
        <w:t>现金流稳定性有待提升，短期偿债压力凸显：</w:t>
      </w:r>
      <w:r>
        <w:rPr>
          <w:rFonts w:ascii="Google Sans Text" w:hAnsi="Google Sans Text" w:eastAsia="Google Sans Text" w:cs="Google Sans Text"/>
          <w:color w:val="1B1C1D"/>
          <w:rtl w:val="0"/>
        </w:rPr>
        <w:t xml:space="preserve"> 速动比率低于1且呈下降趋势，敲响了短期流动性的警钟。这表明企业可用于立即偿债的优质资产（现金、应收账款）不足以覆盖流动负债。</w:t>
      </w:r>
    </w:p>
    <w:p w14:paraId="000000C4">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80" w:hanging="360"/>
      </w:pPr>
      <w:r>
        <w:rPr>
          <w:rFonts w:ascii="Google Sans Text" w:hAnsi="Google Sans Text" w:eastAsia="Google Sans Text" w:cs="Google Sans Text"/>
          <w:b/>
          <w:bCs/>
          <w:color w:val="1B1C1D"/>
          <w:rtl w:val="0"/>
        </w:rPr>
        <w:t>资产运营效率不均衡，存货占压资金严重：</w:t>
      </w:r>
      <w:r>
        <w:rPr>
          <w:rFonts w:ascii="Google Sans Text" w:hAnsi="Google Sans Text" w:eastAsia="Google Sans Text" w:cs="Google Sans Text"/>
          <w:color w:val="1B1C1D"/>
          <w:rtl w:val="0"/>
        </w:rPr>
        <w:t xml:space="preserve"> （基于CSV数据的推断）存货规模的快速增长是导致速动比率恶化的关键。这反映出公司在库存管理、产销协调方面可能存在问题，大量的资金沉淀于存货，既降低了资产流动性，也增加了跌价风险。</w:t>
      </w:r>
    </w:p>
    <w:p w14:paraId="000000C5">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80" w:hanging="360"/>
      </w:pPr>
      <w:r>
        <w:rPr>
          <w:rFonts w:ascii="Google Sans Text" w:hAnsi="Google Sans Text" w:eastAsia="Google Sans Text" w:cs="Google Sans Text"/>
          <w:b/>
          <w:bCs/>
          <w:color w:val="1B1C1D"/>
          <w:rtl w:val="0"/>
        </w:rPr>
        <w:t>外部环境变化带来的不确定性：</w:t>
      </w:r>
      <w:r>
        <w:rPr>
          <w:rFonts w:ascii="Google Sans Text" w:hAnsi="Google Sans Text" w:eastAsia="Google Sans Text" w:cs="Google Sans Text"/>
          <w:color w:val="1B1C1D"/>
          <w:rtl w:val="0"/>
        </w:rPr>
        <w:t xml:space="preserve"> 行业竞争格局的持续恶化、产业政策的调整以及宏观经济的波动，都将对长城汽车的销售回款和融资能力产生直接影响，构成偿债能力的外部威胁。</w:t>
      </w:r>
    </w:p>
    <w:p w14:paraId="000000C6">
      <w:pPr>
        <w:pStyle w:val="3"/>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ascii="Google Sans" w:hAnsi="Google Sans" w:eastAsia="Google Sans" w:cs="Google Sans"/>
          <w:color w:val="1B1C1D"/>
        </w:rPr>
      </w:pPr>
      <w:r>
        <w:rPr>
          <w:rFonts w:ascii="Google Sans" w:hAnsi="Google Sans" w:eastAsia="Google Sans" w:cs="Google Sans"/>
          <w:color w:val="1B1C1D"/>
          <w:rtl w:val="0"/>
        </w:rPr>
        <w:t>结论</w:t>
      </w:r>
    </w:p>
    <w:p w14:paraId="000000C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（注：此处为简要结论框架，您需要根据最终数据分析进行丰富）</w:t>
      </w:r>
    </w:p>
    <w:p w14:paraId="000000C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本文通过对长城汽车2020-2024年偿债能力的纵向和横向对比分析，得出以下结论：</w:t>
      </w:r>
    </w:p>
    <w:p w14:paraId="000000C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在汽车行业剧烈变革和市场竞争白热化的背景下，长城汽车的偿债能力正面临严峻挑战。其短期偿债能力因存货高企而趋于紧张，流动性压力大于主要竞争对手；长期偿债能力则因财务杠杆的持续放大和盈利能力的不稳定而存在隐忧。这些问题是公司在转型期高投入、高竞争环境下财务失衡的集中体现。</w:t>
      </w:r>
    </w:p>
    <w:p w14:paraId="000000C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（此处应接续“建议”部分，例如：建议长城汽车应优化资本结构、加强存货和现金流管理、提升盈利能力等。）</w:t>
      </w:r>
    </w:p>
    <w:p w14:paraId="000000CB">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参考文献</w:t>
      </w:r>
    </w:p>
    <w:p w14:paraId="000000C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[1] (此处添加参考文献)</w:t>
      </w:r>
    </w:p>
    <w:p w14:paraId="000000C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[2] (此处添加参考文献)</w:t>
      </w:r>
    </w:p>
    <w:p w14:paraId="000000C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ascii="Google Sans Text" w:hAnsi="Google Sans Text" w:eastAsia="Google Sans Text" w:cs="Google Sans Text"/>
        </w:rPr>
      </w:pPr>
      <w:r>
        <w:rPr>
          <w:rFonts w:ascii="Google Sans Text" w:hAnsi="Google Sans Text" w:eastAsia="Google Sans Text" w:cs="Google Sans Text"/>
          <w:rtl w:val="0"/>
        </w:rPr>
        <w:t>...</w:t>
      </w:r>
    </w:p>
    <w:p w14:paraId="000000CF">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ascii="Google Sans" w:hAnsi="Google Sans" w:eastAsia="Google Sans" w:cs="Google Sans"/>
          <w:color w:val="1B1C1D"/>
        </w:rPr>
      </w:pPr>
      <w:r>
        <w:rPr>
          <w:rFonts w:ascii="Google Sans" w:hAnsi="Google Sans" w:eastAsia="Google Sans" w:cs="Google Sans"/>
          <w:color w:val="1B1C1D"/>
          <w:rtl w:val="0"/>
        </w:rPr>
        <w:t>致谢</w:t>
      </w:r>
    </w:p>
    <w:p w14:paraId="000000D0">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tl w:val="0"/>
        </w:rPr>
        <w:t>(此处添加致谢内容)</w:t>
      </w:r>
    </w:p>
    <w:sectPr>
      <w:pgSz w:w="12240" w:h="15840"/>
      <w:pgMar w:top="1440" w:right="1440" w:bottom="1440" w:left="1440" w:header="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BA11D2BB-5E85-4231-B241-5B150315EE20}"/>
  </w:font>
  <w:font w:name="Arial">
    <w:panose1 w:val="020B0604020202020204"/>
    <w:charset w:val="01"/>
    <w:family w:val="swiss"/>
    <w:pitch w:val="default"/>
    <w:sig w:usb0="E0002EFF" w:usb1="C000785B" w:usb2="00000009" w:usb3="00000000" w:csb0="400001FF" w:csb1="FFFF0000"/>
    <w:embedRegular r:id="rId2" w:fontKey="{D6A54790-5007-4791-B9C9-0CB0CCEAB441}"/>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78DDF91D-55B4-4824-ABD5-DF1A0DE8426B}"/>
  </w:font>
  <w:font w:name="Symbol">
    <w:panose1 w:val="05050102010706020507"/>
    <w:charset w:val="02"/>
    <w:family w:val="roman"/>
    <w:pitch w:val="default"/>
    <w:sig w:usb0="00000000" w:usb1="00000000" w:usb2="00000000" w:usb3="00000000" w:csb0="80000000" w:csb1="00000000"/>
    <w:embedRegular r:id="rId4" w:fontKey="{4E4B7A27-C9BC-4811-981F-20DD3F1EFE3F}"/>
  </w:font>
  <w:font w:name="Calibri">
    <w:panose1 w:val="020F0502020204030204"/>
    <w:charset w:val="00"/>
    <w:family w:val="swiss"/>
    <w:pitch w:val="default"/>
    <w:sig w:usb0="E4002EFF" w:usb1="C200247B" w:usb2="00000009" w:usb3="00000000" w:csb0="200001FF" w:csb1="00000000"/>
    <w:embedRegular r:id="rId5" w:fontKey="{DE6EC524-1228-4DA2-A115-FCC38C359F94}"/>
  </w:font>
  <w:font w:name="Arial">
    <w:panose1 w:val="020B0604020202020204"/>
    <w:charset w:val="86"/>
    <w:family w:val="auto"/>
    <w:pitch w:val="default"/>
    <w:sig w:usb0="E0002EFF" w:usb1="C000785B" w:usb2="00000009" w:usb3="00000000" w:csb0="400001FF" w:csb1="FFFF0000"/>
    <w:embedRegular r:id="rId6" w:fontKey="{9BCFE446-EFFD-4BA5-8D29-BD281A30BE34}"/>
  </w:font>
  <w:font w:name="Georgia">
    <w:panose1 w:val="02040502050405020303"/>
    <w:charset w:val="00"/>
    <w:family w:val="auto"/>
    <w:pitch w:val="default"/>
    <w:sig w:usb0="00000287" w:usb1="00000000" w:usb2="00000000" w:usb3="00000000" w:csb0="2000009F" w:csb1="00000000"/>
    <w:embedRegular r:id="rId7" w:fontKey="{A7670CB1-E056-4FC4-AB7E-1B4740C3E756}"/>
  </w:font>
  <w:font w:name="Google Sans">
    <w:altName w:val="Liberation Mono"/>
    <w:panose1 w:val="00000000000000000000"/>
    <w:charset w:val="00"/>
    <w:family w:val="auto"/>
    <w:pitch w:val="default"/>
    <w:sig w:usb0="00000000" w:usb1="00000000" w:usb2="00000000" w:usb3="00000000" w:csb0="00000000" w:csb1="00000000"/>
    <w:embedRegular r:id="rId8" w:fontKey="{39955A87-C815-4F89-A75D-9E9DFBF4974D}"/>
  </w:font>
  <w:font w:name="Google Sans Text">
    <w:altName w:val="Liberation Mono"/>
    <w:panose1 w:val="00000000000000000000"/>
    <w:charset w:val="00"/>
    <w:family w:val="auto"/>
    <w:pitch w:val="default"/>
    <w:sig w:usb0="00000000" w:usb1="00000000" w:usb2="00000000" w:usb3="00000000" w:csb0="00000000" w:csb1="00000000"/>
    <w:embedRegular r:id="rId9" w:fontKey="{200ABE14-C523-45B3-A34E-150C629A803A}"/>
  </w:font>
  <w:font w:name="Liberation Mono">
    <w:panose1 w:val="02070409020205020404"/>
    <w:charset w:val="00"/>
    <w:family w:val="auto"/>
    <w:pitch w:val="default"/>
    <w:sig w:usb0="E0000AFF" w:usb1="400078FF" w:usb2="00000001" w:usb3="00000000" w:csb0="600001BF" w:csb1="DFF70000"/>
    <w:embedRegular r:id="rId10" w:fontKey="{83FECA14-EFD1-4B49-B5C7-A7D18E1A185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B5E306ED"/>
    <w:multiLevelType w:val="multilevel"/>
    <w:tmpl w:val="B5E306ED"/>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
    <w:nsid w:val="BF205925"/>
    <w:multiLevelType w:val="multilevel"/>
    <w:tmpl w:val="BF205925"/>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3">
    <w:nsid w:val="C8879AEF"/>
    <w:multiLevelType w:val="multilevel"/>
    <w:tmpl w:val="C8879AEF"/>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4">
    <w:nsid w:val="CF092B84"/>
    <w:multiLevelType w:val="multilevel"/>
    <w:tmpl w:val="CF092B84"/>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5">
    <w:nsid w:val="F4B5D9F5"/>
    <w:multiLevelType w:val="multilevel"/>
    <w:tmpl w:val="F4B5D9F5"/>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6">
    <w:nsid w:val="0053208E"/>
    <w:multiLevelType w:val="multilevel"/>
    <w:tmpl w:val="0053208E"/>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7">
    <w:nsid w:val="0248C179"/>
    <w:multiLevelType w:val="multilevel"/>
    <w:tmpl w:val="0248C179"/>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8">
    <w:nsid w:val="03D62ECE"/>
    <w:multiLevelType w:val="multilevel"/>
    <w:tmpl w:val="03D62ECE"/>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9">
    <w:nsid w:val="25B654F3"/>
    <w:multiLevelType w:val="multilevel"/>
    <w:tmpl w:val="25B654F3"/>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0">
    <w:nsid w:val="2A8F537B"/>
    <w:multiLevelType w:val="multilevel"/>
    <w:tmpl w:val="2A8F537B"/>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1">
    <w:nsid w:val="4D4DC07F"/>
    <w:multiLevelType w:val="multilevel"/>
    <w:tmpl w:val="4D4DC07F"/>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2">
    <w:nsid w:val="59ADCABA"/>
    <w:multiLevelType w:val="multilevel"/>
    <w:tmpl w:val="59ADCABA"/>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3">
    <w:nsid w:val="5A241D34"/>
    <w:multiLevelType w:val="multilevel"/>
    <w:tmpl w:val="5A241D34"/>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4">
    <w:nsid w:val="72183CF9"/>
    <w:multiLevelType w:val="multilevel"/>
    <w:tmpl w:val="72183CF9"/>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885"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num w:numId="1">
    <w:abstractNumId w:val="6"/>
  </w:num>
  <w:num w:numId="2">
    <w:abstractNumId w:val="4"/>
  </w:num>
  <w:num w:numId="3">
    <w:abstractNumId w:val="12"/>
  </w:num>
  <w:num w:numId="4">
    <w:abstractNumId w:val="2"/>
  </w:num>
  <w:num w:numId="5">
    <w:abstractNumId w:val="1"/>
  </w:num>
  <w:num w:numId="6">
    <w:abstractNumId w:val="8"/>
  </w:num>
  <w:num w:numId="7">
    <w:abstractNumId w:val="9"/>
  </w:num>
  <w:num w:numId="8">
    <w:abstractNumId w:val="14"/>
  </w:num>
  <w:num w:numId="9">
    <w:abstractNumId w:val="7"/>
  </w:num>
  <w:num w:numId="10">
    <w:abstractNumId w:val="0"/>
  </w:num>
  <w:num w:numId="11">
    <w:abstractNumId w:val="10"/>
  </w:num>
  <w:num w:numId="12">
    <w:abstractNumId w:val="13"/>
  </w:num>
  <w:num w:numId="13">
    <w:abstractNumId w:val="3"/>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ompat>
    <w:useFELayout/>
    <w:compatSetting w:name="compatibilityMode" w:uri="http://schemas.microsoft.com/office/word" w:val="15"/>
  </w:compat>
  <w:rsids>
    <w:rsidRoot w:val="00000000"/>
    <w:rsid w:val="65452AD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Arial" w:hAnsi="Arial" w:eastAsia="Arial" w:cs="Arial"/>
      <w:sz w:val="22"/>
      <w:szCs w:val="22"/>
    </w:rPr>
  </w:style>
  <w:style w:type="paragraph" w:styleId="2">
    <w:name w:val="heading 1"/>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48"/>
      <w:szCs w:val="48"/>
    </w:rPr>
  </w:style>
  <w:style w:type="paragraph" w:styleId="3">
    <w:name w:val="heading 2"/>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25" w:after="225"/>
    </w:pPr>
    <w:rPr>
      <w:b/>
      <w:bCs/>
      <w:sz w:val="36"/>
      <w:szCs w:val="36"/>
    </w:rPr>
  </w:style>
  <w:style w:type="paragraph" w:styleId="4">
    <w:name w:val="heading 3"/>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28"/>
      <w:szCs w:val="28"/>
    </w:rPr>
  </w:style>
  <w:style w:type="paragraph" w:styleId="5">
    <w:name w:val="heading 4"/>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24"/>
      <w:szCs w:val="24"/>
    </w:rPr>
  </w:style>
  <w:style w:type="paragraph" w:styleId="6">
    <w:name w:val="heading 5"/>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18"/>
      <w:szCs w:val="18"/>
    </w:rPr>
  </w:style>
  <w:style w:type="paragraph" w:styleId="7">
    <w:name w:val="heading 6"/>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360" w:after="360"/>
    </w:pPr>
    <w:rPr>
      <w:b/>
      <w:bCs/>
      <w:sz w:val="16"/>
      <w:szCs w:val="16"/>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8">
    <w:name w:val="Subtitle"/>
    <w:basedOn w:val="1"/>
    <w:next w:val="1"/>
    <w:uiPriority w:val="0"/>
    <w:pPr>
      <w:keepNext/>
      <w:keepLines/>
      <w:pageBreakBefore w:val="0"/>
      <w:spacing w:before="360" w:after="80"/>
    </w:pPr>
    <w:rPr>
      <w:rFonts w:ascii="Georgia" w:hAnsi="Georgia" w:eastAsia="Georgia" w:cs="Georgia"/>
      <w:i/>
      <w:iCs/>
      <w:color w:val="666666"/>
      <w:sz w:val="48"/>
      <w:szCs w:val="48"/>
    </w:rPr>
  </w:style>
  <w:style w:type="paragraph" w:styleId="9">
    <w:name w:val="Title"/>
    <w:basedOn w:val="1"/>
    <w:next w:val="1"/>
    <w:uiPriority w:val="0"/>
    <w:pPr>
      <w:keepNext/>
      <w:keepLines/>
      <w:pageBreakBefore w:val="0"/>
      <w:spacing w:before="480" w:after="120"/>
    </w:pPr>
    <w:rPr>
      <w:b/>
      <w:bCs/>
      <w:sz w:val="72"/>
      <w:szCs w:val="7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uiPriority w:val="0"/>
  </w:style>
  <w:style w:type="table" w:customStyle="1" w:styleId="14">
    <w:name w:val="_Style 11"/>
    <w:basedOn w:val="12"/>
    <w:uiPriority w:val="0"/>
  </w:style>
  <w:style w:type="table" w:customStyle="1" w:styleId="15">
    <w:name w:val="_Style 12"/>
    <w:basedOn w:val="12"/>
    <w:uiPriority w:val="0"/>
  </w:style>
  <w:style w:type="table" w:customStyle="1" w:styleId="16">
    <w:name w:val="_Style 13"/>
    <w:basedOn w:val="12"/>
    <w:uiPriority w:val="0"/>
  </w:style>
</w:styles>
</file>

<file path=word/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numbering" Target="numbering.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9</Pages>
  <Words>4246</Words>
  <Characters>4690</Characters>
  <TotalTime>19</TotalTime>
  <ScaleCrop>false</ScaleCrop>
  <LinksUpToDate>false</LinksUpToDate>
  <CharactersWithSpaces>4774</CharactersWithSpaces>
  <Application>WPS Office_12.1.0.23125_F1E327BC-269C-435d-A152-05C5408002CA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2025-11-11T09:02:10Z</dcterms:created>
  <dc:creator>Lenovo</dc:creator>
  <cp:lastModifiedBy>POTATO</cp:lastModifiedBy>
  <dcterms:modified xsi:type="dcterms:W3CDTF">2025-11-11T09:21:59Z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C127355CB94E41BFB2BC938075BB0B12_13</vt:lpwstr>
  </property>
</Properties>
</file>